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851"/>
        <w:gridCol w:w="4110"/>
        <w:gridCol w:w="2726"/>
        <w:gridCol w:w="2235"/>
      </w:tblGrid>
      <w:tr>
        <w:tblPrEx>
          <w:shd w:val="clear" w:color="auto" w:fill="ced7e7"/>
        </w:tblPrEx>
        <w:trPr>
          <w:trHeight w:val="1862" w:hRule="atLeast"/>
        </w:trPr>
        <w:tc>
          <w:tcPr>
            <w:tcW w:type="dxa" w:w="223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Job Title"/>
              <w:spacing w:after="0" w:line="240" w:lineRule="auto"/>
            </w:pPr>
            <w:r>
              <w:rPr>
                <w:rStyle w:val="Aucun"/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drawing>
                <wp:inline distT="0" distB="0" distL="0" distR="0">
                  <wp:extent cx="1066800" cy="1143000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10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Job Title"/>
              <w:spacing w:after="0" w:line="240" w:lineRule="auto"/>
              <w:rPr>
                <w:rStyle w:val="Aucun"/>
                <w:rFonts w:ascii="Times New Roman" w:cs="Times New Roman" w:hAnsi="Times New Roman" w:eastAsia="Times New Roman"/>
                <w:spacing w:val="-10"/>
                <w:sz w:val="24"/>
                <w:szCs w:val="24"/>
              </w:rPr>
            </w:pPr>
            <w:r>
              <w:rPr>
                <w:rStyle w:val="Aucun"/>
                <w:rFonts w:ascii="Times New Roman" w:hAnsi="Times New Roman"/>
                <w:spacing w:val="-10"/>
                <w:sz w:val="24"/>
                <w:szCs w:val="24"/>
                <w:rtl w:val="0"/>
                <w:lang w:val="fr-FR"/>
              </w:rPr>
              <w:t xml:space="preserve">Mme Nora Sheherezade DIRAMERIAN </w:t>
            </w:r>
          </w:p>
          <w:p>
            <w:pPr>
              <w:pStyle w:val="Achievement"/>
              <w:bidi w:val="0"/>
              <w:ind w:left="0" w:right="0" w:firstLine="0"/>
              <w:jc w:val="left"/>
              <w:rPr>
                <w:rStyle w:val="Aucun"/>
                <w:rtl w:val="0"/>
              </w:rPr>
            </w:pPr>
            <w:r>
              <w:rPr>
                <w:rStyle w:val="Aucun"/>
                <w:rtl w:val="0"/>
                <w:lang w:val="fr-FR"/>
              </w:rPr>
              <w:t>Nationalit</w:t>
            </w:r>
            <w:r>
              <w:rPr>
                <w:rStyle w:val="Aucun"/>
                <w:rtl w:val="0"/>
                <w:lang w:val="fr-FR"/>
              </w:rPr>
              <w:t xml:space="preserve">é </w:t>
            </w:r>
            <w:r>
              <w:rPr>
                <w:rStyle w:val="Aucun"/>
                <w:rtl w:val="0"/>
                <w:lang w:val="fr-FR"/>
              </w:rPr>
              <w:t>: hongroise</w:t>
            </w:r>
          </w:p>
          <w:p>
            <w:pPr>
              <w:pStyle w:val="Achievement"/>
              <w:bidi w:val="0"/>
              <w:ind w:left="0" w:right="0" w:firstLine="0"/>
              <w:jc w:val="left"/>
              <w:rPr>
                <w:rStyle w:val="Aucun"/>
                <w:rtl w:val="0"/>
              </w:rPr>
            </w:pPr>
            <w:r>
              <w:rPr>
                <w:rStyle w:val="Aucun"/>
                <w:rtl w:val="0"/>
                <w:lang w:val="fr-FR"/>
              </w:rPr>
              <w:t>N</w:t>
            </w:r>
            <w:r>
              <w:rPr>
                <w:rStyle w:val="Aucun"/>
                <w:rtl w:val="0"/>
                <w:lang w:val="fr-FR"/>
              </w:rPr>
              <w:t xml:space="preserve">é </w:t>
            </w:r>
            <w:r>
              <w:rPr>
                <w:rStyle w:val="Aucun"/>
                <w:rtl w:val="0"/>
                <w:lang w:val="fr-FR"/>
              </w:rPr>
              <w:t xml:space="preserve">le 22/11/1964 </w:t>
            </w:r>
            <w:r>
              <w:rPr>
                <w:rStyle w:val="Aucun"/>
                <w:rtl w:val="0"/>
                <w:lang w:val="fr-FR"/>
              </w:rPr>
              <w:t xml:space="preserve">à </w:t>
            </w:r>
            <w:r>
              <w:rPr>
                <w:rStyle w:val="Aucun"/>
                <w:rtl w:val="0"/>
                <w:lang w:val="fr-FR"/>
              </w:rPr>
              <w:t>Budapest (Hongrie)</w:t>
            </w:r>
          </w:p>
          <w:p>
            <w:pPr>
              <w:pStyle w:val="Achievemen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Permis de conduire B</w:t>
            </w:r>
          </w:p>
        </w:tc>
        <w:tc>
          <w:tcPr>
            <w:tcW w:type="dxa" w:w="496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right" w:pos="56"/>
              </w:tabs>
              <w:jc w:val="right"/>
              <w:rPr>
                <w:rStyle w:val="Aucun"/>
                <w:b w:val="1"/>
                <w:bCs w:val="1"/>
                <w:sz w:val="22"/>
                <w:szCs w:val="22"/>
                <w:lang w:val="fr-FR"/>
              </w:rPr>
            </w:pPr>
          </w:p>
          <w:p>
            <w:pPr>
              <w:pStyle w:val="Corps"/>
              <w:tabs>
                <w:tab w:val="right" w:pos="56"/>
              </w:tabs>
              <w:bidi w:val="0"/>
              <w:ind w:left="0" w:right="0" w:firstLine="0"/>
              <w:jc w:val="right"/>
              <w:rPr>
                <w:rStyle w:val="Aucu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rtl w:val="0"/>
                <w:lang w:val="fr-FR"/>
              </w:rPr>
              <w:t>H-1112 Budapest, Lanka u. 19.</w:t>
            </w:r>
          </w:p>
          <w:p>
            <w:pPr>
              <w:pStyle w:val="Corps"/>
              <w:bidi w:val="0"/>
              <w:ind w:left="0" w:right="0" w:firstLine="0"/>
              <w:jc w:val="right"/>
              <w:rPr>
                <w:rStyle w:val="Aucu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rtl w:val="0"/>
                <w:lang w:val="fr-FR"/>
              </w:rPr>
              <w:t>Portable: +36 30 924 8504</w:t>
            </w:r>
          </w:p>
          <w:p>
            <w:pPr>
              <w:pStyle w:val="Corps"/>
              <w:tabs>
                <w:tab w:val="right" w:pos="56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Courriel : </w:t>
            </w:r>
            <w:r>
              <w:rPr>
                <w:rStyle w:val="Hyperlink.0"/>
                <w:b w:val="1"/>
                <w:bCs w:val="1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sz w:val="22"/>
                <w:szCs w:val="22"/>
              </w:rPr>
              <w:instrText xml:space="preserve"> HYPERLINK "mailto:n.diramerian@yahoo.fr"</w:instrText>
            </w:r>
            <w:r>
              <w:rPr>
                <w:rStyle w:val="Hyperlink.0"/>
                <w:b w:val="1"/>
                <w:bCs w:val="1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sz w:val="22"/>
                <w:szCs w:val="22"/>
                <w:rtl w:val="0"/>
                <w:lang w:val="fr-FR"/>
              </w:rPr>
              <w:t>n.diramerian@yahoo.fr</w:t>
            </w:r>
            <w:r>
              <w:rPr>
                <w:b w:val="1"/>
                <w:bCs w:val="1"/>
                <w:sz w:val="22"/>
                <w:szCs w:val="22"/>
              </w:rPr>
              <w:fldChar w:fldCharType="end" w:fldLock="0"/>
            </w:r>
            <w:r>
              <w:rPr>
                <w:rStyle w:val="Aucun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907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360"/>
              </w:tabs>
            </w:pPr>
            <w:r>
              <w:rPr>
                <w:rStyle w:val="Aucun"/>
                <w:sz w:val="28"/>
                <w:szCs w:val="28"/>
                <w:rtl w:val="0"/>
                <w:lang w:val="en-US"/>
              </w:rPr>
              <w:t>Exp</w:t>
            </w:r>
            <w:r>
              <w:rPr>
                <w:rStyle w:val="Aucun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Style w:val="Aucun"/>
                <w:sz w:val="28"/>
                <w:szCs w:val="28"/>
                <w:rtl w:val="0"/>
                <w:lang w:val="en-US"/>
              </w:rPr>
              <w:t>riences professionnelles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Septembre 2005 -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ao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û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t 2019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rtl w:val="0"/>
                <w:lang w:val="fr-FR"/>
              </w:rPr>
              <w:t>Ambassade de France en Hongrie, Service de Coop</w:t>
            </w:r>
            <w:r>
              <w:rPr>
                <w:rStyle w:val="Aucun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rtl w:val="0"/>
                <w:lang w:val="fr-FR"/>
              </w:rPr>
              <w:t>ration et d</w:t>
            </w:r>
            <w:r>
              <w:rPr>
                <w:rStyle w:val="Aucun"/>
                <w:b w:val="1"/>
                <w:bCs w:val="1"/>
                <w:sz w:val="22"/>
                <w:szCs w:val="22"/>
                <w:rtl w:val="0"/>
              </w:rPr>
              <w:t>’</w:t>
            </w:r>
            <w:r>
              <w:rPr>
                <w:rStyle w:val="Aucun"/>
                <w:b w:val="1"/>
                <w:bCs w:val="1"/>
                <w:sz w:val="22"/>
                <w:szCs w:val="22"/>
                <w:rtl w:val="0"/>
                <w:lang w:val="fr-FR"/>
              </w:rPr>
              <w:t>Action Culturelle/Institut fran</w:t>
            </w:r>
            <w:r>
              <w:rPr>
                <w:rStyle w:val="Aucun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Aucun"/>
                <w:b w:val="1"/>
                <w:bCs w:val="1"/>
                <w:sz w:val="22"/>
                <w:szCs w:val="22"/>
                <w:rtl w:val="0"/>
                <w:lang w:val="fr-FR"/>
              </w:rPr>
              <w:t>ais en Hongrie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Style w:val="Aucun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Style w:val="Aucun"/>
                <w:b w:val="1"/>
                <w:bCs w:val="1"/>
                <w:i w:val="1"/>
                <w:iCs w:val="1"/>
                <w:sz w:val="22"/>
                <w:szCs w:val="22"/>
                <w:rtl w:val="0"/>
                <w:lang w:val="fr-FR"/>
              </w:rPr>
              <w:t>Assistante au Secr</w:t>
            </w:r>
            <w:r>
              <w:rPr>
                <w:rStyle w:val="Aucun"/>
                <w:b w:val="1"/>
                <w:bCs w:val="1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sz w:val="22"/>
                <w:szCs w:val="22"/>
                <w:rtl w:val="0"/>
                <w:lang w:val="fr-FR"/>
              </w:rPr>
              <w:t>tariat G</w:t>
            </w:r>
            <w:r>
              <w:rPr>
                <w:rStyle w:val="Aucun"/>
                <w:b w:val="1"/>
                <w:bCs w:val="1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sz w:val="22"/>
                <w:szCs w:val="22"/>
                <w:rtl w:val="0"/>
                <w:lang w:val="fr-FR"/>
              </w:rPr>
              <w:t>n</w:t>
            </w:r>
            <w:r>
              <w:rPr>
                <w:rStyle w:val="Aucun"/>
                <w:b w:val="1"/>
                <w:bCs w:val="1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sz w:val="22"/>
                <w:szCs w:val="22"/>
                <w:rtl w:val="0"/>
                <w:lang w:val="fr-FR"/>
              </w:rPr>
              <w:t xml:space="preserve">ral 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 Participation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2"/>
                <w:szCs w:val="22"/>
                <w:rtl w:val="0"/>
              </w:rPr>
              <w:t>l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’é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laboration du budget du fonctionnement g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</w:rPr>
              <w:t>n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</w:rPr>
              <w:t xml:space="preserve">ral 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Gestion du fonctionnement g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</w:rPr>
              <w:t>n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ral : suivi des contrats avec les fournisseurs, prestataires de service, pr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sentation et comparaison des devis pour les d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cideurs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Gestion du personnel (cong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</w:rPr>
              <w:t>s, m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decine de travail, pr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paration contrats)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rStyle w:val="Aucun"/>
                <w:sz w:val="22"/>
                <w:szCs w:val="22"/>
                <w:rtl w:val="0"/>
              </w:rPr>
              <w:t>Pr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paration et organisation des r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unions de service et entretiens pour les d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cideurs</w:t>
            </w:r>
          </w:p>
          <w:p>
            <w:pPr>
              <w:pStyle w:val="Corps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rStyle w:val="Aucun"/>
                <w:sz w:val="22"/>
                <w:szCs w:val="22"/>
                <w:rtl w:val="0"/>
              </w:rPr>
              <w:t>Int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rim du Secr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taire g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</w:rPr>
              <w:t>n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ral en son absence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Mai 2003 -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sz w:val="22"/>
                <w:szCs w:val="22"/>
                <w:rtl w:val="0"/>
              </w:rPr>
              <w:t>Cong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2"/>
                <w:szCs w:val="22"/>
                <w:rtl w:val="0"/>
              </w:rPr>
              <w:t>de maternit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92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1992 ao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û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t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Ambassade de France en Hongrie, Service de Coop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ration et d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</w:rPr>
              <w:t>’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Action Culturelle 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Style w:val="Aucu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Aucun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>Assistante aupr</w:t>
            </w:r>
            <w:r>
              <w:rPr>
                <w:rStyle w:val="Aucun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>s de l</w:t>
            </w:r>
            <w:r>
              <w:rPr>
                <w:rStyle w:val="Aucu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’</w:t>
            </w:r>
            <w:r>
              <w:rPr>
                <w:rStyle w:val="Aucun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>Attach</w:t>
            </w:r>
            <w:r>
              <w:rPr>
                <w:rStyle w:val="Aucun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>pour la Science et la Technologie</w:t>
            </w:r>
          </w:p>
          <w:p>
            <w:pPr>
              <w:pStyle w:val="Corps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Organisation du programme des d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</w:rPr>
              <w:t>l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gations fran</w:t>
            </w:r>
            <w:r>
              <w:rPr>
                <w:rStyle w:val="Aucun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aises dans le domaine scientifique, technique et de l</w:t>
            </w:r>
            <w:r>
              <w:rPr>
                <w:rStyle w:val="Aucun"/>
                <w:sz w:val="22"/>
                <w:szCs w:val="22"/>
                <w:rtl w:val="0"/>
              </w:rPr>
              <w:t>’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enseignement sup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rieur</w:t>
            </w:r>
          </w:p>
          <w:p>
            <w:pPr>
              <w:pStyle w:val="Corps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Suivi du programme scientifique bilat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</w:rPr>
              <w:t xml:space="preserve">ral </w:t>
            </w:r>
            <w:r>
              <w:rPr>
                <w:rStyle w:val="Aucun"/>
                <w:sz w:val="22"/>
                <w:szCs w:val="22"/>
                <w:rtl w:val="0"/>
              </w:rPr>
              <w:t>„</w:t>
            </w:r>
            <w:r>
              <w:rPr>
                <w:rStyle w:val="Aucun"/>
                <w:sz w:val="22"/>
                <w:szCs w:val="22"/>
                <w:rtl w:val="0"/>
              </w:rPr>
              <w:t>Balaton</w:t>
            </w:r>
            <w:r>
              <w:rPr>
                <w:rStyle w:val="Aucun"/>
                <w:sz w:val="22"/>
                <w:szCs w:val="22"/>
                <w:rtl w:val="0"/>
              </w:rPr>
              <w:t xml:space="preserve">” </w:t>
            </w:r>
            <w:r>
              <w:rPr>
                <w:rStyle w:val="Aucun"/>
                <w:sz w:val="22"/>
                <w:szCs w:val="22"/>
                <w:rtl w:val="0"/>
              </w:rPr>
              <w:t>(PAI Balaton)</w:t>
            </w:r>
          </w:p>
          <w:p>
            <w:pPr>
              <w:pStyle w:val="Corps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Suivi des contacts avec les acteurs de la vie scientifique fran</w:t>
            </w:r>
            <w:r>
              <w:rPr>
                <w:rStyle w:val="Aucun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ais et hongrois (minist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res techniques, instituts de recherche, 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tablissements de l</w:t>
            </w:r>
            <w:r>
              <w:rPr>
                <w:rStyle w:val="Aucun"/>
                <w:sz w:val="22"/>
                <w:szCs w:val="22"/>
                <w:rtl w:val="0"/>
              </w:rPr>
              <w:t>’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enseignement sup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rieur) </w:t>
            </w:r>
          </w:p>
          <w:p>
            <w:pPr>
              <w:pStyle w:val="Corps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organisation des expositions, des conf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rences et des conf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en-US"/>
              </w:rPr>
              <w:t xml:space="preserve">rences de presse : p.ex.: "Budapest 2002, European Research Forum" </w:t>
            </w:r>
            <w:r>
              <w:rPr>
                <w:rStyle w:val="Aucun"/>
                <w:sz w:val="22"/>
                <w:szCs w:val="22"/>
                <w:rtl w:val="0"/>
              </w:rPr>
              <w:t xml:space="preserve">– </w:t>
            </w:r>
            <w:r>
              <w:rPr>
                <w:rStyle w:val="Aucun"/>
                <w:sz w:val="22"/>
                <w:szCs w:val="22"/>
                <w:rtl w:val="0"/>
              </w:rPr>
              <w:t>conf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rence internationale ayant but de pr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parer les pays adh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rant de l</w:t>
            </w:r>
            <w:r>
              <w:rPr>
                <w:rStyle w:val="Aucun"/>
                <w:sz w:val="22"/>
                <w:szCs w:val="22"/>
                <w:rtl w:val="0"/>
              </w:rPr>
              <w:t>’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UE au 6eme PCRD, La science simplement </w:t>
            </w:r>
            <w:r>
              <w:rPr>
                <w:rStyle w:val="Aucun"/>
                <w:sz w:val="22"/>
                <w:szCs w:val="22"/>
                <w:rtl w:val="0"/>
              </w:rPr>
              <w:t xml:space="preserve">– </w:t>
            </w:r>
            <w:r>
              <w:rPr>
                <w:rStyle w:val="Aucun"/>
                <w:sz w:val="22"/>
                <w:szCs w:val="22"/>
                <w:rtl w:val="0"/>
              </w:rPr>
              <w:t>s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rie des conf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rences scientifiques pour le grand public </w:t>
            </w:r>
          </w:p>
          <w:p>
            <w:pPr>
              <w:pStyle w:val="Corps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rStyle w:val="Aucun"/>
                <w:sz w:val="22"/>
                <w:szCs w:val="22"/>
                <w:rtl w:val="0"/>
              </w:rPr>
              <w:t>Interpr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tariats et traductions dans diff</w:t>
            </w:r>
            <w:r>
              <w:rPr>
                <w:rStyle w:val="Aucun"/>
                <w:sz w:val="22"/>
                <w:szCs w:val="22"/>
                <w:rtl w:val="0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rents domaines scientifiques</w:t>
            </w:r>
          </w:p>
          <w:p>
            <w:pPr>
              <w:pStyle w:val="Corps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Elaboration de la conception graphique du bulletin bimensuel du service scientifique, participation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la r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daction</w:t>
            </w:r>
            <w:r>
              <w:rPr>
                <w:rStyle w:val="Aucun"/>
                <w:sz w:val="22"/>
                <w:szCs w:val="22"/>
              </w:rPr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1990-1991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2x4 mois de s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jour linguistique en Suisse, assistante dans un bureau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architecture Grisch AG.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Z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ü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rich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1982-1984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Ambassade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Irak en Hongrie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i w:val="1"/>
                <w:iCs w:val="1"/>
                <w:sz w:val="24"/>
                <w:szCs w:val="24"/>
                <w:rtl w:val="0"/>
                <w:lang w:val="fr-FR"/>
              </w:rPr>
              <w:t>Secr</w:t>
            </w:r>
            <w:r>
              <w:rPr>
                <w:rStyle w:val="Aucun"/>
                <w:i w:val="1"/>
                <w:i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24"/>
                <w:szCs w:val="24"/>
                <w:rtl w:val="0"/>
                <w:lang w:val="fr-FR"/>
              </w:rPr>
              <w:t>taire de l</w:t>
            </w:r>
            <w:r>
              <w:rPr>
                <w:rStyle w:val="Aucun"/>
                <w:i w:val="1"/>
                <w:i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i w:val="1"/>
                <w:iCs w:val="1"/>
                <w:sz w:val="24"/>
                <w:szCs w:val="24"/>
                <w:rtl w:val="0"/>
                <w:lang w:val="fr-FR"/>
              </w:rPr>
              <w:t>Ambassadeur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907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360"/>
              </w:tabs>
            </w:pPr>
            <w:r>
              <w:rPr>
                <w:rStyle w:val="Aucun"/>
                <w:sz w:val="28"/>
                <w:szCs w:val="28"/>
                <w:rtl w:val="0"/>
                <w:lang w:val="fr-FR"/>
              </w:rPr>
              <w:t>Etudes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fr-FR"/>
              </w:rPr>
              <w:t>2004 - 2005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Budapest Institute for Graduated and International Studies (BIGIS), Facult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des sciences humaines, Universit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Corvinus de Budapest, fili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re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“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expert en affaires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trang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res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”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1984-1990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Facult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des lettres, Universit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ó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á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nd E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ö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tv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ö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s de Budapest (ELTE BTK)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Langue et litt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rature Fran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ç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aise et Arabe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1978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–</w:t>
            </w: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1982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Lyc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e bilingue Ferenc K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ö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lcsey de Budapest, Fili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re fran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ç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aise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907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360"/>
              </w:tabs>
            </w:pPr>
            <w:r>
              <w:rPr>
                <w:rStyle w:val="Aucun"/>
                <w:sz w:val="28"/>
                <w:szCs w:val="28"/>
                <w:rtl w:val="0"/>
                <w:lang w:val="en-US"/>
              </w:rPr>
              <w:t>Formations diverses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Mai 2015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40"/>
              <w:ind w:left="34" w:firstLine="0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Formation du Minist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re des affaires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trang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res fran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ç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ais de 2 jours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Journ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es du 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seau Comptable R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gional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 »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formation des agents des EAF (Institut fran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ç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ais de Izmir, Turquie)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Novembre 2008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40"/>
              <w:ind w:left="34" w:firstLine="0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Formation du Minist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re des affaires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trang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res fran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ç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ais de 2 semaines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Institut de formation des affaires administratives et consulaires (IFAAC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Nantes)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: gestion et comptabilit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des ambassades.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Juin 2001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40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Stage de 2 semaines en France (Paris, Lyon) pour conna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î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tre 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organisation des Minist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res des Affaires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trang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res, de la Culture et de la Communication (vie culturelle fran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ç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aise, gestion des programmes, fonctionnement et 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administration des m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dias)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b w:val="1"/>
                <w:bCs w:val="1"/>
                <w:sz w:val="24"/>
                <w:szCs w:val="24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1994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40"/>
              <w:rPr>
                <w:rStyle w:val="Aucun"/>
                <w:sz w:val="24"/>
                <w:szCs w:val="24"/>
                <w:lang w:val="fr-FR"/>
              </w:rPr>
            </w:pPr>
          </w:p>
          <w:p>
            <w:pPr>
              <w:pStyle w:val="Corps"/>
              <w:bidi w:val="0"/>
              <w:spacing w:after="40"/>
              <w:ind w:left="34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2 mois de stage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la Radio Bridge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Budapest (pour conna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î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tre le fonctionnement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une radio commerciale)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rtl w:val="0"/>
                <w:lang w:val="en-US"/>
              </w:rPr>
              <w:t>1993</w:t>
            </w:r>
          </w:p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40"/>
              <w:ind w:left="34" w:firstLine="0"/>
            </w:pPr>
            <w:r>
              <w:rPr>
                <w:rStyle w:val="Aucun"/>
                <w:sz w:val="24"/>
                <w:szCs w:val="24"/>
                <w:rtl w:val="0"/>
                <w:lang w:val="fr-FR"/>
              </w:rPr>
              <w:t>Formation de la Chambre de Commerce et d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Industrie de Paris organis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e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Institut Fran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ç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ais de Budapest (gestion de l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entreprise)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907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360"/>
              </w:tabs>
            </w:pPr>
            <w:r>
              <w:rPr>
                <w:rStyle w:val="Aucun"/>
                <w:sz w:val="28"/>
                <w:szCs w:val="28"/>
                <w:rtl w:val="0"/>
                <w:lang w:val="en-US"/>
              </w:rPr>
              <w:t>Connaissances informatiques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ind w:left="34" w:firstLine="0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Application bureautique (Microsoft Office)</w:t>
            </w:r>
          </w:p>
          <w:p>
            <w:pPr>
              <w:pStyle w:val="Corps"/>
              <w:bidi w:val="0"/>
              <w:ind w:left="34" w:right="0" w:firstLine="0"/>
              <w:jc w:val="left"/>
              <w:rPr>
                <w:rStyle w:val="Aucun"/>
                <w:sz w:val="22"/>
                <w:szCs w:val="22"/>
                <w:rtl w:val="0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Internet</w:t>
            </w:r>
          </w:p>
          <w:p>
            <w:pPr>
              <w:pStyle w:val="Corps"/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Logiciel de comptabilit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des EAF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907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360"/>
              </w:tabs>
            </w:pPr>
            <w:r>
              <w:rPr>
                <w:rStyle w:val="Aucun"/>
                <w:b w:val="0"/>
                <w:bCs w:val="0"/>
                <w:sz w:val="28"/>
                <w:szCs w:val="28"/>
                <w:rtl w:val="0"/>
                <w:lang w:val="en-US"/>
              </w:rPr>
              <w:t>Langues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ind w:left="34" w:firstLine="0"/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Hongrois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–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langue maternelle</w:t>
            </w:r>
          </w:p>
          <w:p>
            <w:pPr>
              <w:pStyle w:val="Corps"/>
              <w:bidi w:val="0"/>
              <w:ind w:left="34" w:right="0" w:firstLine="0"/>
              <w:jc w:val="left"/>
              <w:rPr>
                <w:rStyle w:val="Aucun"/>
                <w:sz w:val="22"/>
                <w:szCs w:val="22"/>
                <w:rtl w:val="0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Fran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ç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ais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–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lu, parl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,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crit</w:t>
            </w:r>
          </w:p>
          <w:p>
            <w:pPr>
              <w:pStyle w:val="Corps"/>
              <w:bidi w:val="0"/>
              <w:ind w:left="34" w:right="0" w:firstLine="0"/>
              <w:jc w:val="left"/>
              <w:rPr>
                <w:rStyle w:val="Aucun"/>
                <w:sz w:val="22"/>
                <w:szCs w:val="22"/>
                <w:rtl w:val="0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Arabe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–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parl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é</w:t>
            </w:r>
          </w:p>
          <w:p>
            <w:pPr>
              <w:pStyle w:val="Corps"/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Anglais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 xml:space="preserve">– </w:t>
            </w:r>
            <w:r>
              <w:rPr>
                <w:rStyle w:val="Aucun"/>
                <w:sz w:val="22"/>
                <w:szCs w:val="22"/>
                <w:rtl w:val="0"/>
                <w:lang w:val="fr-FR"/>
              </w:rPr>
              <w:t>connaissance de base</w:t>
            </w:r>
            <w:r>
              <w:rPr>
                <w:rStyle w:val="Aucun"/>
                <w:sz w:val="22"/>
                <w:szCs w:val="22"/>
              </w:rPr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907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tabs>
                <w:tab w:val="left" w:pos="360"/>
              </w:tabs>
            </w:pPr>
            <w:r>
              <w:rPr>
                <w:rStyle w:val="Aucun"/>
                <w:b w:val="0"/>
                <w:bCs w:val="0"/>
                <w:sz w:val="28"/>
                <w:szCs w:val="28"/>
                <w:rtl w:val="0"/>
                <w:lang w:val="en-US"/>
              </w:rPr>
              <w:t>Hobby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ind w:left="34" w:firstLine="0"/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Voyage, sport, musique</w:t>
            </w:r>
          </w:p>
        </w:tc>
        <w:tc>
          <w:tcPr>
            <w:tcW w:type="dxa" w:w="2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</w:pPr>
    </w:p>
    <w:p>
      <w:pPr>
        <w:pStyle w:val="Corps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R</w:t>
      </w:r>
      <w:r>
        <w:rPr>
          <w:rStyle w:val="Aucun"/>
          <w:sz w:val="28"/>
          <w:szCs w:val="28"/>
          <w:rtl w:val="0"/>
        </w:rPr>
        <w:t>é</w:t>
      </w:r>
      <w:r>
        <w:rPr>
          <w:rStyle w:val="Aucun"/>
          <w:sz w:val="28"/>
          <w:szCs w:val="28"/>
          <w:rtl w:val="0"/>
        </w:rPr>
        <w:t>f</w:t>
      </w:r>
      <w:r>
        <w:rPr>
          <w:rStyle w:val="Aucun"/>
          <w:sz w:val="28"/>
          <w:szCs w:val="28"/>
          <w:rtl w:val="0"/>
        </w:rPr>
        <w:t>é</w:t>
      </w:r>
      <w:r>
        <w:rPr>
          <w:rStyle w:val="Aucun"/>
          <w:sz w:val="28"/>
          <w:szCs w:val="28"/>
          <w:rtl w:val="0"/>
          <w:lang w:val="fr-FR"/>
        </w:rPr>
        <w:t>rences</w:t>
      </w:r>
    </w:p>
    <w:p>
      <w:pPr>
        <w:pStyle w:val="Corps"/>
        <w:rPr>
          <w:sz w:val="28"/>
          <w:szCs w:val="28"/>
        </w:rPr>
      </w:pPr>
    </w:p>
    <w:tbl>
      <w:tblPr>
        <w:tblW w:w="105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921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s"/>
              <w:ind w:left="34" w:firstLine="0"/>
            </w:pPr>
            <w:r>
              <w:rPr>
                <w:rStyle w:val="Aucun"/>
                <w:sz w:val="22"/>
                <w:szCs w:val="22"/>
                <w:rtl w:val="0"/>
                <w:lang w:val="fr-FR"/>
              </w:rPr>
              <w:t>Sur demande</w:t>
            </w:r>
          </w:p>
        </w:tc>
      </w:tr>
    </w:tbl>
    <w:p>
      <w:pPr>
        <w:pStyle w:val="Corps"/>
        <w:widowControl w:val="0"/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568" w:right="907" w:bottom="426" w:left="851" w:header="964" w:footer="9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720"/>
        </w:tabs>
        <w:ind w:left="459" w:hanging="9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179" w:hanging="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899" w:hanging="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619" w:hanging="9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339" w:hanging="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4059" w:hanging="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779" w:hanging="9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499" w:hanging="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219" w:hanging="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Job Title">
    <w:name w:val="Job Title"/>
    <w:next w:val="Achievem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2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1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Achievement">
    <w:name w:val="Achievement"/>
    <w:next w:val="Achievem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2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Aucun">
    <w:name w:val="Aucun"/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